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Игры и игрушки для детей раннего и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«Игры и игрушки для детей раннего и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«Игры и игрушки для детей раннего и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«Игры и игрушки для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«Игры и игрушки для детей раннего и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как социальный, культурный, 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детской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игры в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Игрушки: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игрушки для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игрушки для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методики по изучению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w:t>
            </w:r>
          </w:p>
          <w:p>
            <w:pPr>
              <w:jc w:val="left"/>
              <w:spacing w:after="0" w:line="240" w:lineRule="auto"/>
              <w:rPr>
                <w:sz w:val="24"/>
                <w:szCs w:val="24"/>
              </w:rPr>
            </w:pPr>
            <w:r>
              <w:rPr>
                <w:rFonts w:ascii="Times New Roman" w:hAnsi="Times New Roman" w:cs="Times New Roman"/>
                <w:color w:val="#000000"/>
                <w:sz w:val="24"/>
                <w:szCs w:val="24"/>
              </w:rPr>
              <w:t> Характеристика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w:t>
            </w:r>
          </w:p>
          <w:p>
            <w:pPr>
              <w:jc w:val="left"/>
              <w:spacing w:after="0" w:line="240" w:lineRule="auto"/>
              <w:rPr>
                <w:sz w:val="24"/>
                <w:szCs w:val="24"/>
              </w:rPr>
            </w:pPr>
            <w:r>
              <w:rPr>
                <w:rFonts w:ascii="Times New Roman" w:hAnsi="Times New Roman" w:cs="Times New Roman"/>
                <w:color w:val="#000000"/>
                <w:sz w:val="24"/>
                <w:szCs w:val="24"/>
              </w:rPr>
              <w:t> Планирование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w:t>
            </w:r>
          </w:p>
          <w:p>
            <w:pPr>
              <w:jc w:val="left"/>
              <w:spacing w:after="0" w:line="240" w:lineRule="auto"/>
              <w:rPr>
                <w:sz w:val="24"/>
                <w:szCs w:val="24"/>
              </w:rPr>
            </w:pPr>
            <w:r>
              <w:rPr>
                <w:rFonts w:ascii="Times New Roman" w:hAnsi="Times New Roman" w:cs="Times New Roman"/>
                <w:color w:val="#000000"/>
                <w:sz w:val="24"/>
                <w:szCs w:val="24"/>
              </w:rPr>
              <w:t> Направления исследования игры в контексте детского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w:t>
            </w:r>
          </w:p>
          <w:p>
            <w:pPr>
              <w:jc w:val="left"/>
              <w:spacing w:after="0" w:line="240" w:lineRule="auto"/>
              <w:rPr>
                <w:sz w:val="24"/>
                <w:szCs w:val="24"/>
              </w:rPr>
            </w:pPr>
            <w:r>
              <w:rPr>
                <w:rFonts w:ascii="Times New Roman" w:hAnsi="Times New Roman" w:cs="Times New Roman"/>
                <w:color w:val="#000000"/>
                <w:sz w:val="24"/>
                <w:szCs w:val="24"/>
              </w:rPr>
              <w:t> Игра как ведущий вид деятельности в дошкольном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39.7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как социальный, культурный, психологический феномен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детской игры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игры в развитии ребенка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Игрушки: история и современность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игрушки для детей раннего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игрушки для детей дошкольного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Игротерапия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методики по изучению игровой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w:t>
            </w:r>
          </w:p>
          <w:p>
            <w:pPr>
              <w:jc w:val="center"/>
              <w:spacing w:after="0" w:line="240" w:lineRule="auto"/>
              <w:rPr>
                <w:sz w:val="24"/>
                <w:szCs w:val="24"/>
              </w:rPr>
            </w:pPr>
            <w:r>
              <w:rPr>
                <w:rFonts w:ascii="Times New Roman" w:hAnsi="Times New Roman" w:cs="Times New Roman"/>
                <w:b/>
                <w:color w:val="#000000"/>
                <w:sz w:val="24"/>
                <w:szCs w:val="24"/>
              </w:rPr>
              <w:t> Характеристика игровой деятельности</w:t>
            </w:r>
          </w:p>
        </w:tc>
      </w:tr>
      <w:tr>
        <w:trPr>
          <w:trHeight w:hRule="exact" w:val="21.31518"/>
        </w:trPr>
        <w:tc>
          <w:tcPr>
            <w:tcW w:w="9640" w:type="dxa"/>
          </w:tcPr>
          <w:p/>
        </w:tc>
      </w:tr>
      <w:tr>
        <w:trPr>
          <w:trHeight w:hRule="exact" w:val="1046.7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Игра - ведущий вид деятельности ребенка; удовлетворение основных потребностей ребенка в игре;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Структурные компоненты игры.</w:t>
            </w:r>
          </w:p>
          <w:p>
            <w:pPr>
              <w:jc w:val="left"/>
              <w:spacing w:after="0" w:line="240" w:lineRule="auto"/>
              <w:rPr>
                <w:sz w:val="24"/>
                <w:szCs w:val="24"/>
              </w:rPr>
            </w:pPr>
            <w:r>
              <w:rPr>
                <w:rFonts w:ascii="Times New Roman" w:hAnsi="Times New Roman" w:cs="Times New Roman"/>
                <w:color w:val="#000000"/>
                <w:sz w:val="24"/>
                <w:szCs w:val="24"/>
              </w:rPr>
              <w:t> 3. Своеобразие игровой деятельности детей раннего и дошкольного возраста.</w:t>
            </w:r>
          </w:p>
          <w:p>
            <w:pPr>
              <w:jc w:val="left"/>
              <w:spacing w:after="0" w:line="240" w:lineRule="auto"/>
              <w:rPr>
                <w:sz w:val="24"/>
                <w:szCs w:val="24"/>
              </w:rPr>
            </w:pPr>
            <w:r>
              <w:rPr>
                <w:rFonts w:ascii="Times New Roman" w:hAnsi="Times New Roman" w:cs="Times New Roman"/>
                <w:color w:val="#000000"/>
                <w:sz w:val="24"/>
                <w:szCs w:val="24"/>
              </w:rPr>
              <w:t> 4. Значение игрушек, предметов-заместителей в развитии игровой деятельности детей раннего и дошкольного возраста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w:t>
            </w:r>
          </w:p>
          <w:p>
            <w:pPr>
              <w:jc w:val="center"/>
              <w:spacing w:after="0" w:line="240" w:lineRule="auto"/>
              <w:rPr>
                <w:sz w:val="24"/>
                <w:szCs w:val="24"/>
              </w:rPr>
            </w:pPr>
            <w:r>
              <w:rPr>
                <w:rFonts w:ascii="Times New Roman" w:hAnsi="Times New Roman" w:cs="Times New Roman"/>
                <w:b/>
                <w:color w:val="#000000"/>
                <w:sz w:val="24"/>
                <w:szCs w:val="24"/>
              </w:rPr>
              <w:t> Планирование игровой деятельности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Технология конструирования и реализации игровых программ для детей раннего и дошкольного возраста.</w:t>
            </w:r>
          </w:p>
          <w:p>
            <w:pPr>
              <w:jc w:val="left"/>
              <w:spacing w:after="0" w:line="240" w:lineRule="auto"/>
              <w:rPr>
                <w:sz w:val="24"/>
                <w:szCs w:val="24"/>
              </w:rPr>
            </w:pPr>
            <w:r>
              <w:rPr>
                <w:rFonts w:ascii="Times New Roman" w:hAnsi="Times New Roman" w:cs="Times New Roman"/>
                <w:color w:val="#000000"/>
                <w:sz w:val="24"/>
                <w:szCs w:val="24"/>
              </w:rPr>
              <w:t> 2. Определение задач игры, ее пространственные и временные перспективы, содержательное наполнение и продумывание логики развертывания игр.</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w:t>
            </w:r>
          </w:p>
          <w:p>
            <w:pPr>
              <w:jc w:val="center"/>
              <w:spacing w:after="0" w:line="240" w:lineRule="auto"/>
              <w:rPr>
                <w:sz w:val="24"/>
                <w:szCs w:val="24"/>
              </w:rPr>
            </w:pPr>
            <w:r>
              <w:rPr>
                <w:rFonts w:ascii="Times New Roman" w:hAnsi="Times New Roman" w:cs="Times New Roman"/>
                <w:b/>
                <w:color w:val="#000000"/>
                <w:sz w:val="24"/>
                <w:szCs w:val="24"/>
              </w:rPr>
              <w:t> Направления исследования игры в контексте детского развития</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Игра в контексте когнитивного развития детей.</w:t>
            </w:r>
          </w:p>
          <w:p>
            <w:pPr>
              <w:jc w:val="left"/>
              <w:spacing w:after="0" w:line="240" w:lineRule="auto"/>
              <w:rPr>
                <w:sz w:val="24"/>
                <w:szCs w:val="24"/>
              </w:rPr>
            </w:pPr>
            <w:r>
              <w:rPr>
                <w:rFonts w:ascii="Times New Roman" w:hAnsi="Times New Roman" w:cs="Times New Roman"/>
                <w:color w:val="#000000"/>
                <w:sz w:val="24"/>
                <w:szCs w:val="24"/>
              </w:rPr>
              <w:t> 2. Игра в контексте социального развития детей.</w:t>
            </w:r>
          </w:p>
          <w:p>
            <w:pPr>
              <w:jc w:val="left"/>
              <w:spacing w:after="0" w:line="240" w:lineRule="auto"/>
              <w:rPr>
                <w:sz w:val="24"/>
                <w:szCs w:val="24"/>
              </w:rPr>
            </w:pPr>
            <w:r>
              <w:rPr>
                <w:rFonts w:ascii="Times New Roman" w:hAnsi="Times New Roman" w:cs="Times New Roman"/>
                <w:color w:val="#000000"/>
                <w:sz w:val="24"/>
                <w:szCs w:val="24"/>
              </w:rPr>
              <w:t> 3. Игра в контексте развития аффективно-мотивационной сферы детей.</w:t>
            </w:r>
          </w:p>
          <w:p>
            <w:pPr>
              <w:jc w:val="left"/>
              <w:spacing w:after="0" w:line="240" w:lineRule="auto"/>
              <w:rPr>
                <w:sz w:val="24"/>
                <w:szCs w:val="24"/>
              </w:rPr>
            </w:pPr>
            <w:r>
              <w:rPr>
                <w:rFonts w:ascii="Times New Roman" w:hAnsi="Times New Roman" w:cs="Times New Roman"/>
                <w:color w:val="#000000"/>
                <w:sz w:val="24"/>
                <w:szCs w:val="24"/>
              </w:rPr>
              <w:t> 4. Развивающие и образовательные функции игры в дошкольном детстве.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w:t>
            </w:r>
          </w:p>
          <w:p>
            <w:pPr>
              <w:jc w:val="center"/>
              <w:spacing w:after="0" w:line="240" w:lineRule="auto"/>
              <w:rPr>
                <w:sz w:val="24"/>
                <w:szCs w:val="24"/>
              </w:rPr>
            </w:pPr>
            <w:r>
              <w:rPr>
                <w:rFonts w:ascii="Times New Roman" w:hAnsi="Times New Roman" w:cs="Times New Roman"/>
                <w:b/>
                <w:color w:val="#000000"/>
                <w:sz w:val="24"/>
                <w:szCs w:val="24"/>
              </w:rPr>
              <w:t> Игра как ведущий вид деятельности в дошкольном детстве</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Происхождение игры в истории общества. Теории игры.</w:t>
            </w:r>
          </w:p>
          <w:p>
            <w:pPr>
              <w:jc w:val="left"/>
              <w:spacing w:after="0" w:line="240" w:lineRule="auto"/>
              <w:rPr>
                <w:sz w:val="24"/>
                <w:szCs w:val="24"/>
              </w:rPr>
            </w:pPr>
            <w:r>
              <w:rPr>
                <w:rFonts w:ascii="Times New Roman" w:hAnsi="Times New Roman" w:cs="Times New Roman"/>
                <w:color w:val="#000000"/>
                <w:sz w:val="24"/>
                <w:szCs w:val="24"/>
              </w:rPr>
              <w:t> 2. Задачи и содержание развития игровой деятельности в разных возрастных группах.</w:t>
            </w:r>
          </w:p>
          <w:p>
            <w:pPr>
              <w:jc w:val="left"/>
              <w:spacing w:after="0" w:line="240" w:lineRule="auto"/>
              <w:rPr>
                <w:sz w:val="24"/>
                <w:szCs w:val="24"/>
              </w:rPr>
            </w:pPr>
            <w:r>
              <w:rPr>
                <w:rFonts w:ascii="Times New Roman" w:hAnsi="Times New Roman" w:cs="Times New Roman"/>
                <w:color w:val="#000000"/>
                <w:sz w:val="24"/>
                <w:szCs w:val="24"/>
              </w:rPr>
              <w:t> 3. Классификация игр, функции и структура разных видов игр.</w:t>
            </w:r>
          </w:p>
          <w:p>
            <w:pPr>
              <w:jc w:val="left"/>
              <w:spacing w:after="0" w:line="240" w:lineRule="auto"/>
              <w:rPr>
                <w:sz w:val="24"/>
                <w:szCs w:val="24"/>
              </w:rPr>
            </w:pPr>
            <w:r>
              <w:rPr>
                <w:rFonts w:ascii="Times New Roman" w:hAnsi="Times New Roman" w:cs="Times New Roman"/>
                <w:color w:val="#000000"/>
                <w:sz w:val="24"/>
                <w:szCs w:val="24"/>
              </w:rPr>
              <w:t> 4. Игры-драматизации, режиссерские и строительные, театрализованные игры как вид творческой игры, их особенности и развивающее значение.</w:t>
            </w:r>
          </w:p>
          <w:p>
            <w:pPr>
              <w:jc w:val="left"/>
              <w:spacing w:after="0" w:line="240" w:lineRule="auto"/>
              <w:rPr>
                <w:sz w:val="24"/>
                <w:szCs w:val="24"/>
              </w:rPr>
            </w:pPr>
            <w:r>
              <w:rPr>
                <w:rFonts w:ascii="Times New Roman" w:hAnsi="Times New Roman" w:cs="Times New Roman"/>
                <w:color w:val="#000000"/>
                <w:sz w:val="24"/>
                <w:szCs w:val="24"/>
              </w:rPr>
              <w:t> 5. Воспитание активности и организаторских умений у детей в сюжетно-ролевой игре.</w:t>
            </w:r>
          </w:p>
          <w:p>
            <w:pPr>
              <w:jc w:val="left"/>
              <w:spacing w:after="0" w:line="240" w:lineRule="auto"/>
              <w:rPr>
                <w:sz w:val="24"/>
                <w:szCs w:val="24"/>
              </w:rPr>
            </w:pPr>
            <w:r>
              <w:rPr>
                <w:rFonts w:ascii="Times New Roman" w:hAnsi="Times New Roman" w:cs="Times New Roman"/>
                <w:color w:val="#000000"/>
                <w:sz w:val="24"/>
                <w:szCs w:val="24"/>
              </w:rPr>
              <w:t> 6. Воспитание в игре гуманных чувств и дружбы между детьми.</w:t>
            </w:r>
          </w:p>
          <w:p>
            <w:pPr>
              <w:jc w:val="left"/>
              <w:spacing w:after="0" w:line="240" w:lineRule="auto"/>
              <w:rPr>
                <w:sz w:val="24"/>
                <w:szCs w:val="24"/>
              </w:rPr>
            </w:pPr>
            <w:r>
              <w:rPr>
                <w:rFonts w:ascii="Times New Roman" w:hAnsi="Times New Roman" w:cs="Times New Roman"/>
                <w:color w:val="#000000"/>
                <w:sz w:val="24"/>
                <w:szCs w:val="24"/>
              </w:rPr>
              <w:t> 7. Конфликты детей в игре и пути их педагогического разрешения.</w:t>
            </w:r>
          </w:p>
          <w:p>
            <w:pPr>
              <w:jc w:val="left"/>
              <w:spacing w:after="0" w:line="240" w:lineRule="auto"/>
              <w:rPr>
                <w:sz w:val="24"/>
                <w:szCs w:val="24"/>
              </w:rPr>
            </w:pPr>
            <w:r>
              <w:rPr>
                <w:rFonts w:ascii="Times New Roman" w:hAnsi="Times New Roman" w:cs="Times New Roman"/>
                <w:color w:val="#000000"/>
                <w:sz w:val="24"/>
                <w:szCs w:val="24"/>
              </w:rPr>
              <w:t> 8. Характеристика разных видов игр с правилами, их структура и содержание.</w:t>
            </w:r>
          </w:p>
          <w:p>
            <w:pPr>
              <w:jc w:val="left"/>
              <w:spacing w:after="0" w:line="240" w:lineRule="auto"/>
              <w:rPr>
                <w:sz w:val="24"/>
                <w:szCs w:val="24"/>
              </w:rPr>
            </w:pPr>
            <w:r>
              <w:rPr>
                <w:rFonts w:ascii="Times New Roman" w:hAnsi="Times New Roman" w:cs="Times New Roman"/>
                <w:color w:val="#000000"/>
                <w:sz w:val="24"/>
                <w:szCs w:val="24"/>
              </w:rPr>
              <w:t> 9. Дидактические игры. Виды дидактических игр. Методика организации и проведения дидактических игр.</w:t>
            </w:r>
          </w:p>
          <w:p>
            <w:pPr>
              <w:jc w:val="left"/>
              <w:spacing w:after="0" w:line="240" w:lineRule="auto"/>
              <w:rPr>
                <w:sz w:val="24"/>
                <w:szCs w:val="24"/>
              </w:rPr>
            </w:pPr>
            <w:r>
              <w:rPr>
                <w:rFonts w:ascii="Times New Roman" w:hAnsi="Times New Roman" w:cs="Times New Roman"/>
                <w:color w:val="#000000"/>
                <w:sz w:val="24"/>
                <w:szCs w:val="24"/>
              </w:rPr>
              <w:t> 10. Виды игрушек. Воспитательно-образовательная ценность игрушки, ее значение в жизни ребенка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«Игры и игрушки для детей раннего и дошкольного возраста»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(ПО)(23)_plx_Игры и игрушки для детей раннего и дошкольного возраста</dc:title>
  <dc:creator>FastReport.NET</dc:creator>
</cp:coreProperties>
</file>